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VwV EFRE RegioWIN 2014-2020</w:t>
            </w:r>
          </w:p>
        </w:tc>
      </w:tr>
      <w:tr>
        <w:trPr>
          <w:trHeight w:hRule="exact" w:val="100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 Sonstige Innovationsinfrastrukturen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501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909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909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werden.):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tbl>
      <w:tblPr>
        <w:tblW w:w="964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Hinweis: </w:t>
            </w:r>
            <w:r>
              <w:rPr>
                <w:sz w:val="18"/>
                <w:szCs w:val="18"/>
              </w:rPr>
              <w:t xml:space="preserve">Bei RegioWIN prämierten Leuchtturmprojekten sind nur die Nettoaufwendungen zuwendungsfähig. </w:t>
            </w:r>
          </w:p>
        </w:tc>
      </w:tr>
    </w:tbl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Ausstattung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Erwerb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Grundstück - Sachleistung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2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G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G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BG+GEG+GSG+PG+GK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=SaG+IG+BG+GEG+GSG+PG+GKG+SoG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IZ+BZ+GEZ+GSZ+PZ+G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=SaZ+IZ+BZ+GEZ+GSZ+PZ+GKZ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7" w:name="_Ref462644109"/>
            <w:r>
              <w:rPr>
                <w:b/>
                <w:sz w:val="20"/>
                <w:szCs w:val="20"/>
              </w:rPr>
              <w:t>Finanzierung</w:t>
            </w:r>
            <w:bookmarkEnd w:id="2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302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729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Zuwendungsfähig sind nur die tatsächlich nachgewiesenen, getätigten Aufwendungen. Für die Gemeinkostenpauschale  ist kein Nachweis zu erbringen.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). 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2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3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44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44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sz w:val="24"/>
        </w:rPr>
      </w:pPr>
    </w:p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424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824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gewiesen wurden oder das Personal eigens für diese Aufgaben eingestellt wurde. In der Abordnung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verfügung oder der Zuweisung der Aufgaben bzw. der Stellenb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schreibung wurden die EU-kofinanzierungsfähigen Projekttätigkeiten detailliert beschrieben. Soweit das kofinanzierte Personal nur anteilig kofinanzierungsfähige Aufgaben ausführt, wurde in der Abordnung, der Zuweisung bzw. dem Vertrag der Anteil der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zeitstelle bzw. die Stundenzahl festgelegt. Die Abordnung, Aufgabenzuweisung bzw. der entsprechende Arbeitsvertrag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ständig ausgefüllt und sind dem Zwischen-/Verwendungsnachweis beigefügt.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89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_Ref462644109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</w:t>
            </w:r>
            <w:r>
              <w:rPr>
                <w:color w:val="000000" w:themeColor="text1"/>
                <w:szCs w:val="20"/>
              </w:rPr>
              <w:t>. Eine entsprechende Zertifizierung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Aufrechterhaltung der Funktionalität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Ich/Wir bestätige/n, dass der zweckentsprechende Betrieb oder die Aufrechterhaltung der Funktionalität in der Zweckbindungsfrist gemäß Zuwendungsbescheid sichergestellt ist. 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Weitergabe des wirtschaftlichen Vorteils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die Regeln über staatliche Beihilfen nach Artikel 107 ff. AEUV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achtet werden sofern die Nutzung der Innovationsinfrastruktur oder die Erbringung von Dienstleistungen an Unternehmen unterhalb der marktüblichen Konditionen erfolgt. Der wir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schaftliche Vorteil durch die Zuwendung wird auf Basis einer geeigneten beihilferechtlichen Grundlage an die Nutzer der Innovationsinfrastruktur weitergegeben.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5" w:name="_Ref410212919"/>
            <w:r>
              <w:rPr>
                <w:rStyle w:val="Funotenzeichen"/>
                <w:szCs w:val="20"/>
              </w:rPr>
              <w:footnoteReference w:id="3"/>
            </w:r>
            <w:bookmarkEnd w:id="45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  <w:highlight w:val="yellow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bookmarkStart w:id="46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6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3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Zuwendungsfähig sind Personalaufwendungen für die übergeordnete Projektkoordination (vgl.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REF _Ref430856367 \r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2.12.6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) bis zur Endstufe E15 des Tarifvertrags für den öffentlichen Dienst der Länder.</w:t>
      </w:r>
    </w:p>
  </w:footnote>
  <w:footnote w:id="2">
    <w:p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rPr>
          <w:sz w:val="16"/>
          <w:szCs w:val="16"/>
        </w:rPr>
        <w:t>Die Gemeinkostenpauschale beträgt 15% der Personalaufwendungen, sie umfasst</w:t>
      </w:r>
      <w:r>
        <w:rPr>
          <w:rFonts w:cs="Arial"/>
          <w:color w:val="000000"/>
          <w:sz w:val="16"/>
          <w:szCs w:val="16"/>
        </w:rPr>
        <w:t xml:space="preserve"> indirekte Aufwendungen, die im direkten Zusammenhang mit dem im Projekt beschäftigten Personal</w:t>
      </w:r>
      <w:r>
        <w:rPr>
          <w:sz w:val="16"/>
          <w:szCs w:val="16"/>
        </w:rPr>
        <w:t xml:space="preserve"> stehen insbesondere Büromiete, Strom, Wasser, Reinigung, IT-Wartung, Telefon / Internet (laufende Kosten), Büroverbrauchsmaterial, Steuerbüro- / Lohnabrechnungskosten, Arbeitskle</w:t>
      </w:r>
      <w:r>
        <w:rPr>
          <w:sz w:val="16"/>
          <w:szCs w:val="16"/>
        </w:rPr>
        <w:t>i</w:t>
      </w:r>
      <w:r>
        <w:rPr>
          <w:sz w:val="16"/>
          <w:szCs w:val="16"/>
        </w:rPr>
        <w:t>dung. Eine Einzelabrechnung dieser Aufwendungen als Sachaufwendungen ist nicht möglich.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2625" cy="733425"/>
          <wp:effectExtent l="0" t="0" r="9525" b="9525"/>
          <wp:docPr id="1" name="Grafik 1" descr="F:\Bereichssekretariat\Vorlagen-Verzeichnisse\Logos\EFRE\EFRE 2014-2020\viererband_02_MW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ereichssekretariat\Vorlagen-Verzeichnisse\Logos\EFRE\EFRE 2014-2020\viererband_02_MW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5HQR19bb7QbaHH+2MMktwoI7hs=" w:salt="uRizryBAmWi9hE+Y0TdjYg=="/>
  <w:defaultTabStop w:val="708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MLRID-124-467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http://spdienste.bitbw.bwl.de/LGL/EFRE/EFRE-Formulare/_layouts/DocIdRedir.aspx?ID=MLRID-124-467</Url>
      <Description>MLRID-124-467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8</Foerdertatbestand>
    <Inhalt_x0020_des_x0020_Dokuments xmlns="e44d7062-4e03-46c0-90ec-d0965be01d41">30</Inhalt_x0020_des_x0020_Dokuments>
    <VwV xmlns="e44d7062-4e03-46c0-90ec-d0965be01d41">3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8B6A2-7D3C-4189-B792-383BB8872570}"/>
</file>

<file path=customXml/itemProps2.xml><?xml version="1.0" encoding="utf-8"?>
<ds:datastoreItem xmlns:ds="http://schemas.openxmlformats.org/officeDocument/2006/customXml" ds:itemID="{1F333E74-496A-4288-A097-81B1296F20CD}"/>
</file>

<file path=customXml/itemProps3.xml><?xml version="1.0" encoding="utf-8"?>
<ds:datastoreItem xmlns:ds="http://schemas.openxmlformats.org/officeDocument/2006/customXml" ds:itemID="{552CDFF4-94F1-4A9D-92BD-4D90ADE8F1C7}"/>
</file>

<file path=customXml/itemProps4.xml><?xml version="1.0" encoding="utf-8"?>
<ds:datastoreItem xmlns:ds="http://schemas.openxmlformats.org/officeDocument/2006/customXml" ds:itemID="{A52E9027-D54D-4262-AD46-C6AA95437CBB}"/>
</file>

<file path=customXml/itemProps5.xml><?xml version="1.0" encoding="utf-8"?>
<ds:datastoreItem xmlns:ds="http://schemas.openxmlformats.org/officeDocument/2006/customXml" ds:itemID="{C5BEF0A0-EEBE-4844-BA48-CF71C07C4EA7}"/>
</file>

<file path=customXml/itemProps6.xml><?xml version="1.0" encoding="utf-8"?>
<ds:datastoreItem xmlns:ds="http://schemas.openxmlformats.org/officeDocument/2006/customXml" ds:itemID="{69BAA6D4-D6C2-4A78-8C59-C60334C9BD61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1647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12002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Brotsmann, Rita (FH 9)</dc:creator>
  <cp:lastModifiedBy>Brotsmann, Rita (FH 9)</cp:lastModifiedBy>
  <cp:revision>2</cp:revision>
  <cp:lastPrinted>2015-01-29T14:02:00Z</cp:lastPrinted>
  <dcterms:created xsi:type="dcterms:W3CDTF">2018-09-21T09:54:00Z</dcterms:created>
  <dcterms:modified xsi:type="dcterms:W3CDTF">2018-09-21T09:54:00Z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46700</vt:r8>
  </property>
  <property fmtid="{D5CDD505-2E9C-101B-9397-08002B2CF9AE}" pid="3" name="WorkflowChangePath">
    <vt:lpwstr>afd95b55-5f12-44bd-a145-9c72ad322069,4;afd95b55-5f12-44bd-a145-9c72ad322069,9;afd95b55-5f12-44bd-a145-9c72ad322069,14;afd95b55-5f12-44bd-a145-9c72ad322069,16;afd95b55-5f12-44bd-a145-9c72ad322069,23;afd95b55-5f12-44bd-a145-9c72ad322069,25;afd95b55-5f12-44bd-a145-9c72ad322069,30;afd95b55-5f12-44bd-a145-9c72ad322069,32;afd95b55-5f12-44bd-a145-9c72ad322069,39;afd95b55-5f12-44bd-a145-9c72ad322069,44;641111c6-7eca-48cd-a318-1b327714b43d,46;641111c6-7eca-48cd-a318-1b327714b43d,48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f262fb22-41e5-4b09-b131-0dcd386295df</vt:lpwstr>
  </property>
</Properties>
</file>