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0"/>
                <w:szCs w:val="30"/>
              </w:rPr>
              <w:t>VwV EFRE – Holz Innovativ Programm – HIP 2014 – 2020</w:t>
            </w:r>
          </w:p>
        </w:tc>
      </w:tr>
      <w:tr>
        <w:trPr>
          <w:trHeight w:hRule="exact" w:val="134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>
        <w:trPr>
          <w:trHeight w:hRule="exact" w:val="279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24"/>
              </w:rPr>
              <w:t xml:space="preserve">hier: Clusterförderung  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1009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697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technische Anl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G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G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PG+GK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=SAG+IG+PG+GKG+SoG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IZ+PZ+G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=SAZ+IZ+PZ+GKZ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6" w:name="_Ref449963591"/>
            <w:r>
              <w:rPr>
                <w:b/>
                <w:sz w:val="20"/>
                <w:szCs w:val="20"/>
              </w:rPr>
              <w:t>Finanzierung</w:t>
            </w:r>
            <w:bookmarkEnd w:id="1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Einnahmen durch das Projekt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EN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EN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EN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=EMG+ENG+ÖMG1+ÖMG2+ÖMG3+PMG+EFREG+LandG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EN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=EMZ+ENZ+ÖMZ1+ÖMZ2+ÖMZ3+PMZ+EFREZ+LandZ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76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 ist kein Nachweis zu erbringen.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4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35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96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gewiesen wurden oder das Personal eigens für diese Aufgaben eingestellt wurde. In der Abordnung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verfügung oder der Zuweisung der Aufgaben bzw. der Stellenb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schreibung wurden die EU-kofinanzierungsfähigen Projekttätigkeiten detailliert beschrieben. Soweit das kofinanzierte Personal nur anteilig kofinanzierungsfähige Aufgaben ausführt, wurde in der Abordnung, der Zuweisung bzw. dem Vertrag der Anteil der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zeitstelle bzw. die Stundenzahl festgelegt. Die Abordnung, Aufgabenzuweisung bzw. der entsprechende Arbeitsvertrag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ständig ausgefüllt und sind dem Zwischen-/Verwendungsnachweis beigefügt.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_Ref449963591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</w:t>
            </w:r>
            <w:r>
              <w:rPr>
                <w:color w:val="000000" w:themeColor="text1"/>
                <w:szCs w:val="20"/>
              </w:rPr>
              <w:t>. Eine entsprechende Zertifizierung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Soweit das Vorhaben als beihilfefrei gewährt wurde, </w:t>
            </w:r>
            <w:r>
              <w:rPr>
                <w:szCs w:val="20"/>
              </w:rPr>
              <w:t xml:space="preserve">bestätige/n ich/wir, dass </w:t>
            </w:r>
            <w:r>
              <w:t>die Tätigkeiten der Einrichtung nach wirtschaftlichen und nichtwirtschaftlichen Aktivitäten im Sinne des EU-Beihilferechts (vgl. Abschnitt 2 des Unionsrahmens für staatliche Beihilfen zur Förderung von Forschung, Entwicklung und Innovation - 2014/C 198/01) – getrennt werden. Die Z</w:t>
            </w:r>
            <w:r>
              <w:t>u</w:t>
            </w:r>
            <w:r>
              <w:t>wendung aus EFRE-Mitteln wurde dem nichtwirtschaftlichen Bereich zugeordnet.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6" w:name="_Ref410212919"/>
            <w:r>
              <w:rPr>
                <w:rStyle w:val="Funotenzeichen"/>
                <w:szCs w:val="20"/>
              </w:rPr>
              <w:footnoteReference w:id="3"/>
            </w:r>
            <w:bookmarkEnd w:id="36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37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7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Letzter Jahresabschluss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Trennungsrechnung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Gemeinkostenpauschale beträgt 15% der Personalaufwendungen, sie umfasst</w:t>
      </w:r>
      <w:r>
        <w:rPr>
          <w:rFonts w:cs="Arial"/>
          <w:color w:val="000000"/>
          <w:sz w:val="16"/>
          <w:szCs w:val="16"/>
        </w:rPr>
        <w:t xml:space="preserve"> indirekte Aufwendungen, die im direkten Zusammenhang mit dem im Projekt beschäftigten Personal</w:t>
      </w:r>
      <w:r>
        <w:rPr>
          <w:sz w:val="16"/>
          <w:szCs w:val="16"/>
        </w:rPr>
        <w:t xml:space="preserve"> stehen insbesondere Büromiete, Strom, Wasser, Reinigung, IT-Wartung, Telefon / Internet (laufende Kosten), Büroverbrauchsmaterial, Steuerbüro- / Lohnabrechnungskosten, Arbeitskle</w:t>
      </w:r>
      <w:r>
        <w:rPr>
          <w:sz w:val="16"/>
          <w:szCs w:val="16"/>
        </w:rPr>
        <w:t>i</w:t>
      </w:r>
      <w:r>
        <w:rPr>
          <w:sz w:val="16"/>
          <w:szCs w:val="16"/>
        </w:rPr>
        <w:t>dung. Eine Einzelabrechnung dieser Aufwendungen als Sachaufwendungen ist nicht möglich.</w:t>
      </w:r>
    </w:p>
  </w:footnote>
  <w:footnote w:id="2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Einnahmen sind Zuflüsse von Geldbeträgen, die unmittelbar für die im Rahmen des Vorhabens bereitgestellten Dienstleistu</w:t>
      </w:r>
      <w:r>
        <w:rPr>
          <w:color w:val="000000"/>
          <w:sz w:val="16"/>
          <w:szCs w:val="16"/>
        </w:rPr>
        <w:t>n</w:t>
      </w:r>
      <w:r>
        <w:rPr>
          <w:color w:val="000000"/>
          <w:sz w:val="16"/>
          <w:szCs w:val="16"/>
        </w:rPr>
        <w:t>gen gezahlt werden, wie z.B. Einnahmen aus Teilnehmergebühren bei Veranstaltungen.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2_MFW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20.10.2018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20.10.2018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qJ3r/OYTBtInQLSZcVtYMdEw1+w=" w:salt="3dacPKRQkdt3u+jzVIiqXQ=="/>
  <w:defaultTabStop w:val="708"/>
  <w:autoHyphenation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MLRID-124-321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http://spdienste.bitbw.bwl.de/LGL/EFRE/EFRE-Formulare/_layouts/DocIdRedir.aspx?ID=MLRID-124-321</Url>
      <Description>MLRID-124-321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14</Foerdertatbestand>
    <Inhalt_x0020_des_x0020_Dokuments xmlns="e44d7062-4e03-46c0-90ec-d0965be01d41">30</Inhalt_x0020_des_x0020_Dokuments>
    <VwV xmlns="e44d7062-4e03-46c0-90ec-d0965be01d41">6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321FB-2287-4333-A751-7A213D646279}"/>
</file>

<file path=customXml/itemProps2.xml><?xml version="1.0" encoding="utf-8"?>
<ds:datastoreItem xmlns:ds="http://schemas.openxmlformats.org/officeDocument/2006/customXml" ds:itemID="{E6C6CF03-216D-4E1C-9FDA-89B5E08FB385}"/>
</file>

<file path=customXml/itemProps3.xml><?xml version="1.0" encoding="utf-8"?>
<ds:datastoreItem xmlns:ds="http://schemas.openxmlformats.org/officeDocument/2006/customXml" ds:itemID="{911BAB68-484B-438C-A154-30BFB7D4A997}"/>
</file>

<file path=customXml/itemProps4.xml><?xml version="1.0" encoding="utf-8"?>
<ds:datastoreItem xmlns:ds="http://schemas.openxmlformats.org/officeDocument/2006/customXml" ds:itemID="{960A2490-A10E-4A9B-9711-AD9377159962}"/>
</file>

<file path=customXml/itemProps5.xml><?xml version="1.0" encoding="utf-8"?>
<ds:datastoreItem xmlns:ds="http://schemas.openxmlformats.org/officeDocument/2006/customXml" ds:itemID="{1DEDFA5D-E331-475B-8C07-3320A681F462}"/>
</file>

<file path=customXml/itemProps6.xml><?xml version="1.0" encoding="utf-8"?>
<ds:datastoreItem xmlns:ds="http://schemas.openxmlformats.org/officeDocument/2006/customXml" ds:itemID="{64F96B15-4791-458F-9357-61AB3D962223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1594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11620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2018-09-21T09:30:00Z</dcterms:created>
  <dcterms:modified xsi:type="dcterms:W3CDTF">2018-09-21T09:30:00Z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32100</vt:r8>
  </property>
  <property fmtid="{D5CDD505-2E9C-101B-9397-08002B2CF9AE}" pid="3" name="WorkflowChangePath">
    <vt:lpwstr>afd95b55-5f12-44bd-a145-9c72ad322069,4;afd95b55-5f12-44bd-a145-9c72ad322069,8;afd95b55-5f12-44bd-a145-9c72ad322069,15;afd95b55-5f12-44bd-a145-9c72ad322069,17;afd95b55-5f12-44bd-a145-9c72ad322069,24;afd95b55-5f12-44bd-a145-9c72ad322069,26;afd95b55-5f12-44bd-a145-9c72ad322069,31;afd95b55-5f12-44bd-a145-9c72ad322069,33;afd95b55-5f12-44bd-a145-9c72ad322069,40;afd95b55-5f12-44bd-a145-9c72ad322069,42;afd95b55-5f12-44bd-a145-9c72ad322069,47;afd95b55-5f12-44bd-a145-9c72ad322069,49;afd95b55-5f12-44bd-a145-9c72ad322069,56;afd95b55-5f12-44bd-a145-9c72ad322069,58;afd95b55-5f12-44bd-a145-9c72ad322069,63;afd95b55-5f12-44bd-a145-9c72ad322069,65;afd95b55-5f12-44bd-a145-9c72ad322069,73;afd95b55-5f12-44bd-a145-9c72ad322069,80;641111c6-7eca-48cd-a318-1b327714b43d,82;641111c6-7eca-48cd-a318-1b327714b43d,84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fefecc88-8e5d-419e-8d04-5a37af11e44f</vt:lpwstr>
  </property>
</Properties>
</file>